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139B2419" w:rsidR="0088301E" w:rsidRDefault="0088301E" w:rsidP="0088301E">
      <w:pPr>
        <w:spacing w:before="0" w:after="120"/>
        <w:jc w:val="right"/>
      </w:pPr>
      <w:r w:rsidRPr="003566B0">
        <w:rPr>
          <w:b/>
          <w:bCs/>
        </w:rPr>
        <w:t>Meeting:</w:t>
      </w:r>
      <w:r w:rsidRPr="002C7104">
        <w:t xml:space="preserve"> </w:t>
      </w:r>
      <w:r w:rsidR="00BC3EB6">
        <w:t>Children and Young People Board</w:t>
      </w:r>
    </w:p>
    <w:p w14:paraId="48F31F7A" w14:textId="30ED45B7" w:rsidR="0088301E" w:rsidRPr="003566B0" w:rsidRDefault="0088301E" w:rsidP="0088301E">
      <w:pPr>
        <w:spacing w:before="0" w:after="120"/>
        <w:jc w:val="right"/>
        <w:rPr>
          <w:color w:val="FF0000"/>
        </w:rPr>
      </w:pPr>
      <w:r w:rsidRPr="003566B0">
        <w:rPr>
          <w:b/>
          <w:bCs/>
        </w:rPr>
        <w:t>Date:</w:t>
      </w:r>
      <w:r>
        <w:t xml:space="preserve"> </w:t>
      </w:r>
      <w:r w:rsidR="00BC3EB6">
        <w:t>29 September 2022</w:t>
      </w:r>
    </w:p>
    <w:p w14:paraId="75E4B33E" w14:textId="58E1F6D2" w:rsidR="002D013E" w:rsidRPr="003566B0" w:rsidRDefault="00BC3EB6" w:rsidP="004748F8">
      <w:pPr>
        <w:pStyle w:val="Heading1"/>
      </w:pPr>
      <w:r>
        <w:t>A Vision for Children and Young People</w:t>
      </w:r>
    </w:p>
    <w:p w14:paraId="61BD5ACA" w14:textId="77777777" w:rsidR="00CA5846" w:rsidRPr="00FF5DFA" w:rsidRDefault="00B56823" w:rsidP="00AE33E9">
      <w:pPr>
        <w:pStyle w:val="Heading2"/>
      </w:pPr>
      <w:r w:rsidRPr="00FF5DFA">
        <w:t>Purpose of report</w:t>
      </w:r>
    </w:p>
    <w:p w14:paraId="3850EE98" w14:textId="3FAA200F" w:rsidR="00B56823" w:rsidRDefault="00B56823" w:rsidP="00425C92">
      <w:pPr>
        <w:spacing w:before="0" w:after="120" w:line="276" w:lineRule="auto"/>
        <w:ind w:firstLine="0"/>
      </w:pPr>
      <w:r>
        <w:t xml:space="preserve">For </w:t>
      </w:r>
      <w:r w:rsidR="00BC3EB6">
        <w:t>discussion</w:t>
      </w:r>
    </w:p>
    <w:p w14:paraId="13DE16B0" w14:textId="77777777" w:rsidR="00C77025" w:rsidRDefault="00B56823" w:rsidP="00AE33E9">
      <w:pPr>
        <w:pStyle w:val="Heading2"/>
      </w:pPr>
      <w:r>
        <w:t>Summary</w:t>
      </w:r>
    </w:p>
    <w:p w14:paraId="4A190CC4" w14:textId="2D9777BA" w:rsidR="00B56823" w:rsidRPr="00395AD4" w:rsidRDefault="00E762B7" w:rsidP="00BA5321">
      <w:pPr>
        <w:spacing w:before="0" w:after="160"/>
        <w:ind w:firstLine="0"/>
      </w:pPr>
      <w:r>
        <w:t xml:space="preserve">This report </w:t>
      </w:r>
      <w:r w:rsidR="00833499">
        <w:t xml:space="preserve">seeks the views of the Children and Young People Board on a potential </w:t>
      </w:r>
      <w:r w:rsidR="00492F21">
        <w:t xml:space="preserve">medium to long-term </w:t>
      </w:r>
      <w:r w:rsidR="00833499">
        <w:t>vision for children and young people</w:t>
      </w:r>
      <w:r w:rsidR="00492F21">
        <w:t>, which can be used to guide the LGA’s policy work in this area</w:t>
      </w:r>
      <w:r w:rsidR="00970E84">
        <w:t xml:space="preserve"> and influence the Government and the manifestos for the next general election.</w:t>
      </w:r>
    </w:p>
    <w:p w14:paraId="3E0BA933" w14:textId="521018C8" w:rsidR="00885D1D" w:rsidRPr="00D9187A" w:rsidRDefault="00B56823" w:rsidP="00425C92">
      <w:pPr>
        <w:ind w:firstLine="0"/>
        <w:rPr>
          <w:b/>
          <w:bCs/>
        </w:rPr>
      </w:pPr>
      <w:r w:rsidRPr="00D9187A">
        <w:rPr>
          <w:b/>
          <w:bCs/>
        </w:rPr>
        <w:t xml:space="preserve">Is this report confidential? </w:t>
      </w:r>
      <w:r w:rsidR="00690B8B" w:rsidRPr="00B872F6">
        <w:rPr>
          <w:b/>
          <w:bCs/>
          <w:color w:val="C00000"/>
        </w:rPr>
        <w:t xml:space="preserve"> </w:t>
      </w:r>
    </w:p>
    <w:p w14:paraId="6427F619" w14:textId="62570AF4" w:rsidR="00987523" w:rsidRDefault="00B56823" w:rsidP="00C51037">
      <w:pPr>
        <w:ind w:firstLine="0"/>
        <w:rPr>
          <w:color w:val="C00000"/>
        </w:rPr>
      </w:pPr>
      <w:r w:rsidRPr="006455C6">
        <w:t xml:space="preserve">No </w:t>
      </w:r>
    </w:p>
    <w:p w14:paraId="2976DA35" w14:textId="5DF567F5" w:rsidR="000B1103" w:rsidRPr="000B1103" w:rsidRDefault="00987523" w:rsidP="000B1103">
      <w:pPr>
        <w:pStyle w:val="Heading3"/>
        <w:pBdr>
          <w:top w:val="single" w:sz="4" w:space="5" w:color="auto"/>
          <w:left w:val="single" w:sz="4" w:space="0" w:color="auto"/>
          <w:bottom w:val="single" w:sz="4" w:space="5" w:color="auto"/>
          <w:right w:val="single" w:sz="4" w:space="4" w:color="auto"/>
        </w:pBdr>
        <w:ind w:firstLine="0"/>
        <w:rPr>
          <w:b w:val="0"/>
          <w:bCs/>
        </w:rPr>
      </w:pPr>
      <w:r>
        <w:t>Recommendation</w:t>
      </w:r>
    </w:p>
    <w:p w14:paraId="040BEC48" w14:textId="220D3C98" w:rsidR="00162B91" w:rsidRPr="00584BDE" w:rsidRDefault="000B1103" w:rsidP="00162B91">
      <w:pPr>
        <w:pBdr>
          <w:top w:val="single" w:sz="4" w:space="5" w:color="auto"/>
          <w:left w:val="single" w:sz="4" w:space="0" w:color="auto"/>
          <w:bottom w:val="single" w:sz="4" w:space="5" w:color="auto"/>
          <w:right w:val="single" w:sz="4" w:space="4" w:color="auto"/>
        </w:pBdr>
        <w:spacing w:after="160"/>
        <w:ind w:firstLine="0"/>
      </w:pPr>
      <w:r>
        <w:t xml:space="preserve">Members are recommended to give their views on </w:t>
      </w:r>
      <w:r w:rsidR="00687A6B">
        <w:t>what should be included in an ambitious vision for children and young people.</w:t>
      </w:r>
    </w:p>
    <w:p w14:paraId="2BDA80C6" w14:textId="77777777" w:rsidR="001F77A5" w:rsidRDefault="001F77A5" w:rsidP="00AE33E9">
      <w:pPr>
        <w:pStyle w:val="Heading2"/>
      </w:pPr>
      <w:r>
        <w:t>Contact details</w:t>
      </w:r>
    </w:p>
    <w:p w14:paraId="788AFFB2" w14:textId="4A098213" w:rsidR="00B56823" w:rsidRDefault="00B56823" w:rsidP="00425C92">
      <w:pPr>
        <w:spacing w:before="0" w:after="120"/>
        <w:ind w:firstLine="0"/>
      </w:pPr>
      <w:r>
        <w:t xml:space="preserve">Contact officer: </w:t>
      </w:r>
      <w:r w:rsidR="00BC3EB6">
        <w:t>Louise Smith</w:t>
      </w:r>
    </w:p>
    <w:p w14:paraId="078052B8" w14:textId="31C0F18D" w:rsidR="00B56823" w:rsidRDefault="00B56823" w:rsidP="00425C92">
      <w:pPr>
        <w:spacing w:before="0" w:after="120"/>
        <w:ind w:firstLine="0"/>
      </w:pPr>
      <w:r>
        <w:t>Position:</w:t>
      </w:r>
      <w:r w:rsidR="00BC3EB6">
        <w:t xml:space="preserve"> Senior Adviser – Children and Young People</w:t>
      </w:r>
    </w:p>
    <w:p w14:paraId="60F2047B" w14:textId="3BDA3306" w:rsidR="00B56823" w:rsidRDefault="00B56823" w:rsidP="00425C92">
      <w:pPr>
        <w:spacing w:before="0" w:after="120"/>
        <w:ind w:firstLine="0"/>
      </w:pPr>
      <w:r>
        <w:t xml:space="preserve">Phone no: </w:t>
      </w:r>
      <w:r w:rsidR="00BC3EB6">
        <w:rPr>
          <w:rFonts w:eastAsiaTheme="minorEastAsia" w:cs="Arial"/>
          <w:noProof/>
          <w:lang w:eastAsia="en-GB"/>
        </w:rPr>
        <w:t>07464 652769</w:t>
      </w:r>
    </w:p>
    <w:p w14:paraId="3FA2BFE5" w14:textId="01E42589" w:rsidR="00B56823" w:rsidRDefault="00B56823" w:rsidP="00425C92">
      <w:pPr>
        <w:spacing w:before="0" w:after="120"/>
        <w:ind w:firstLine="0"/>
        <w:rPr>
          <w:rStyle w:val="Hyperlink"/>
        </w:rPr>
      </w:pPr>
      <w:r>
        <w:t>Email:</w:t>
      </w:r>
      <w:r>
        <w:tab/>
      </w:r>
      <w:hyperlink r:id="rId12" w:history="1">
        <w:r w:rsidR="00BC3EB6" w:rsidRPr="00852169">
          <w:rPr>
            <w:rStyle w:val="Hyperlink"/>
          </w:rPr>
          <w:t>louise.smith@local.gov.uk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72A33DD2" w:rsidR="00447DCB" w:rsidRDefault="00BC3EB6" w:rsidP="004748F8">
      <w:pPr>
        <w:pStyle w:val="Heading1"/>
      </w:pPr>
      <w:r>
        <w:lastRenderedPageBreak/>
        <w:t>A Vision for Children and Young People</w:t>
      </w:r>
    </w:p>
    <w:p w14:paraId="61A88C88" w14:textId="414F6F4C" w:rsidR="00E81AC5" w:rsidRDefault="00E81AC5" w:rsidP="00AE33E9">
      <w:pPr>
        <w:pStyle w:val="Heading2"/>
      </w:pPr>
      <w:r w:rsidRPr="00AE33E9">
        <w:t>Background</w:t>
      </w:r>
    </w:p>
    <w:p w14:paraId="127265B6" w14:textId="0537A2F4" w:rsidR="00BA5321" w:rsidRDefault="00BC3EB6" w:rsidP="00BA5321">
      <w:pPr>
        <w:pStyle w:val="ListParagraph"/>
        <w:numPr>
          <w:ilvl w:val="0"/>
          <w:numId w:val="10"/>
        </w:numPr>
      </w:pPr>
      <w:r>
        <w:t>In addition to working on the immediate issues facing councils, including the cost-of-living crisis, the LGA is now considering those medium to long-term challenges and ambitions that its members are considering.</w:t>
      </w:r>
    </w:p>
    <w:p w14:paraId="4273131A" w14:textId="66C3B88F" w:rsidR="00BC3EB6" w:rsidRDefault="00BC3EB6" w:rsidP="00BA5321">
      <w:pPr>
        <w:pStyle w:val="ListParagraph"/>
        <w:numPr>
          <w:ilvl w:val="0"/>
          <w:numId w:val="10"/>
        </w:numPr>
      </w:pPr>
      <w:r>
        <w:t>This work was kick-started at the LGA Conference in June with the publication of “</w:t>
      </w:r>
      <w:hyperlink r:id="rId13" w:history="1">
        <w:r w:rsidRPr="00BC3EB6">
          <w:rPr>
            <w:rStyle w:val="Hyperlink"/>
          </w:rPr>
          <w:t>Signals of the future – horizon scanning for local government</w:t>
        </w:r>
      </w:hyperlink>
      <w:r>
        <w:t xml:space="preserve">”, which provides insights into what the leading drivers of change are in the country today and how these might play out over the coming years. </w:t>
      </w:r>
      <w:r w:rsidR="006B7ECA">
        <w:t>These drivers include supporting the next generation of more diverse young people, addressing the digital divide, harnessing the power of communities and considering environmental issues including green energy and biodiversity.</w:t>
      </w:r>
    </w:p>
    <w:p w14:paraId="4D53934C" w14:textId="2D7D92D7" w:rsidR="00BC3EB6" w:rsidRDefault="00BC3EB6" w:rsidP="00BA5321">
      <w:pPr>
        <w:pStyle w:val="ListParagraph"/>
        <w:numPr>
          <w:ilvl w:val="0"/>
          <w:numId w:val="10"/>
        </w:numPr>
      </w:pPr>
      <w:r>
        <w:t>To support this longer-term view, we are seeking to develop a Vision for Children and Young People. This vision, to be developed in partnership with the Board and building on feedback from councils, will guide the LGA’s policy work in relation to children and young people in the lead up to the next general election</w:t>
      </w:r>
      <w:r w:rsidR="00235960">
        <w:t xml:space="preserve"> and beyond</w:t>
      </w:r>
      <w:r>
        <w:t>. Our intention is that this work will develop a clear and compelling narrative</w:t>
      </w:r>
      <w:r w:rsidR="006B7ECA">
        <w:t xml:space="preserve"> around the role of councils in supporting children and young people, and their families.</w:t>
      </w:r>
      <w:r w:rsidR="000F7823">
        <w:t xml:space="preserve"> This will build on the successful work carried out by the Board through the </w:t>
      </w:r>
      <w:hyperlink r:id="rId14" w:history="1">
        <w:r w:rsidR="000F7823" w:rsidRPr="00766787">
          <w:rPr>
            <w:rStyle w:val="Hyperlink"/>
          </w:rPr>
          <w:t>Bright Futures campaign</w:t>
        </w:r>
      </w:hyperlink>
      <w:r w:rsidR="000F7823">
        <w:t>.</w:t>
      </w:r>
    </w:p>
    <w:p w14:paraId="752594D4" w14:textId="65FAD69D" w:rsidR="004748F8" w:rsidRDefault="004748F8" w:rsidP="004748F8">
      <w:pPr>
        <w:pStyle w:val="Heading2"/>
      </w:pPr>
      <w:r>
        <w:t>Proposal</w:t>
      </w:r>
    </w:p>
    <w:p w14:paraId="6308399F" w14:textId="39D872F1" w:rsidR="004748F8" w:rsidRDefault="006B7ECA" w:rsidP="004748F8">
      <w:pPr>
        <w:pStyle w:val="ListParagraph"/>
        <w:numPr>
          <w:ilvl w:val="0"/>
          <w:numId w:val="10"/>
        </w:numPr>
      </w:pPr>
      <w:r>
        <w:t>It is proposed that a vision for children and young people is developed focussing on what a new government could deliver by the end of a fixed term, that is by 2029</w:t>
      </w:r>
      <w:r w:rsidR="00AA5E31">
        <w:t xml:space="preserve"> (assumin</w:t>
      </w:r>
      <w:r w:rsidR="00022B06">
        <w:t>g there is no change to the current schedule of elections)</w:t>
      </w:r>
      <w:r>
        <w:t>.</w:t>
      </w:r>
    </w:p>
    <w:p w14:paraId="132A316F" w14:textId="3CE2A587" w:rsidR="006B7ECA" w:rsidRDefault="006B7ECA" w:rsidP="004748F8">
      <w:pPr>
        <w:pStyle w:val="ListParagraph"/>
        <w:numPr>
          <w:ilvl w:val="0"/>
          <w:numId w:val="10"/>
        </w:numPr>
      </w:pPr>
      <w:r>
        <w:t>Members are asked to consider what an ambitious vision for children and young people could look like, including:</w:t>
      </w:r>
    </w:p>
    <w:p w14:paraId="5DF50595" w14:textId="5429D8CB" w:rsidR="006B7ECA" w:rsidRDefault="006B7ECA" w:rsidP="006B7ECA">
      <w:pPr>
        <w:pStyle w:val="ListParagraph"/>
        <w:numPr>
          <w:ilvl w:val="1"/>
          <w:numId w:val="10"/>
        </w:numPr>
      </w:pPr>
      <w:r>
        <w:t>What outcomes councils want to see for children and young people</w:t>
      </w:r>
      <w:r w:rsidR="003A3446">
        <w:t>, what outcomes children and young people want for themselves</w:t>
      </w:r>
    </w:p>
    <w:p w14:paraId="74334EF3" w14:textId="3AD81A65" w:rsidR="006B7ECA" w:rsidRDefault="006B7ECA" w:rsidP="006B7ECA">
      <w:pPr>
        <w:pStyle w:val="ListParagraph"/>
        <w:numPr>
          <w:ilvl w:val="1"/>
          <w:numId w:val="10"/>
        </w:numPr>
      </w:pPr>
      <w:r>
        <w:t>What factors impact upon those outcomes</w:t>
      </w:r>
    </w:p>
    <w:p w14:paraId="0F7976A0" w14:textId="6F2D3FC0" w:rsidR="006B7ECA" w:rsidRDefault="006B7ECA" w:rsidP="006B7ECA">
      <w:pPr>
        <w:pStyle w:val="ListParagraph"/>
        <w:numPr>
          <w:ilvl w:val="1"/>
          <w:numId w:val="10"/>
        </w:numPr>
      </w:pPr>
      <w:r>
        <w:t xml:space="preserve">What levers and funding councils need to deliver </w:t>
      </w:r>
      <w:r w:rsidR="00D37292">
        <w:t>those outcomes.</w:t>
      </w:r>
    </w:p>
    <w:p w14:paraId="35F3AD73" w14:textId="4904AEE0" w:rsidR="00D37292" w:rsidRDefault="00D37292" w:rsidP="00D37292">
      <w:pPr>
        <w:pStyle w:val="ListParagraph"/>
        <w:numPr>
          <w:ilvl w:val="0"/>
          <w:numId w:val="10"/>
        </w:numPr>
      </w:pPr>
      <w:r>
        <w:t>Some initial suggestions for a high-level vision</w:t>
      </w:r>
      <w:r w:rsidR="009E0678">
        <w:t>, based on existing policy and evidence</w:t>
      </w:r>
      <w:r w:rsidR="00687A6B">
        <w:t xml:space="preserve"> in relation to what makes a difference to children’s lives</w:t>
      </w:r>
      <w:r w:rsidR="009543B5">
        <w:t xml:space="preserve"> (including what </w:t>
      </w:r>
      <w:hyperlink r:id="rId15" w:history="1">
        <w:r w:rsidR="009543B5" w:rsidRPr="005D0D7B">
          <w:rPr>
            <w:rStyle w:val="Hyperlink"/>
          </w:rPr>
          <w:t>children told the Children’s Commissioner</w:t>
        </w:r>
      </w:hyperlink>
      <w:r w:rsidR="004437BA">
        <w:t xml:space="preserve"> mattered to them</w:t>
      </w:r>
      <w:r w:rsidR="009543B5">
        <w:t xml:space="preserve"> in the Big Ask)</w:t>
      </w:r>
      <w:r w:rsidR="009E0678">
        <w:t>,</w:t>
      </w:r>
      <w:r>
        <w:t xml:space="preserve"> are outlined on the next page to help begin this discussion. </w:t>
      </w:r>
    </w:p>
    <w:p w14:paraId="6FA4774E" w14:textId="77777777" w:rsidR="00D37292" w:rsidRDefault="00D37292">
      <w:pPr>
        <w:sectPr w:rsidR="00D37292" w:rsidSect="00DA5AAB">
          <w:headerReference w:type="default" r:id="rId16"/>
          <w:footerReference w:type="even" r:id="rId17"/>
          <w:headerReference w:type="first" r:id="rId18"/>
          <w:footerReference w:type="first" r:id="rId19"/>
          <w:pgSz w:w="11900" w:h="16840"/>
          <w:pgMar w:top="1440" w:right="1440" w:bottom="1440" w:left="1440" w:header="284" w:footer="567" w:gutter="0"/>
          <w:pgNumType w:start="1"/>
          <w:cols w:space="708"/>
          <w:titlePg/>
          <w:docGrid w:linePitch="360"/>
        </w:sectPr>
      </w:pPr>
    </w:p>
    <w:tbl>
      <w:tblPr>
        <w:tblStyle w:val="TableGrid"/>
        <w:tblW w:w="14425" w:type="dxa"/>
        <w:tblLook w:val="04A0" w:firstRow="1" w:lastRow="0" w:firstColumn="1" w:lastColumn="0" w:noHBand="0" w:noVBand="1"/>
      </w:tblPr>
      <w:tblGrid>
        <w:gridCol w:w="2885"/>
        <w:gridCol w:w="2885"/>
        <w:gridCol w:w="2885"/>
        <w:gridCol w:w="2885"/>
        <w:gridCol w:w="2885"/>
      </w:tblGrid>
      <w:tr w:rsidR="00D37292" w14:paraId="1FDFB0A8" w14:textId="77777777" w:rsidTr="001858D5">
        <w:trPr>
          <w:trHeight w:val="841"/>
        </w:trPr>
        <w:tc>
          <w:tcPr>
            <w:tcW w:w="14425" w:type="dxa"/>
            <w:gridSpan w:val="5"/>
            <w:shd w:val="clear" w:color="auto" w:fill="CCC0D9" w:themeFill="accent4" w:themeFillTint="66"/>
          </w:tcPr>
          <w:p w14:paraId="13182211" w14:textId="5D7FF2F3" w:rsidR="00D37292" w:rsidRPr="00FA468C" w:rsidRDefault="00D37292" w:rsidP="00D37292">
            <w:pPr>
              <w:ind w:firstLine="0"/>
              <w:jc w:val="center"/>
              <w:rPr>
                <w:b/>
                <w:bCs/>
              </w:rPr>
            </w:pPr>
            <w:r w:rsidRPr="00FA468C">
              <w:rPr>
                <w:b/>
                <w:bCs/>
              </w:rPr>
              <w:lastRenderedPageBreak/>
              <w:t>By 2029, every child should have five things every day:</w:t>
            </w:r>
          </w:p>
        </w:tc>
      </w:tr>
      <w:tr w:rsidR="00D37292" w14:paraId="772628F8" w14:textId="77777777" w:rsidTr="001858D5">
        <w:trPr>
          <w:trHeight w:val="839"/>
        </w:trPr>
        <w:tc>
          <w:tcPr>
            <w:tcW w:w="2885" w:type="dxa"/>
          </w:tcPr>
          <w:p w14:paraId="6388E5A3" w14:textId="2E8D3D28" w:rsidR="00D37292" w:rsidRPr="001858D5" w:rsidRDefault="00D37292" w:rsidP="00D37292">
            <w:pPr>
              <w:ind w:firstLine="0"/>
              <w:jc w:val="center"/>
              <w:rPr>
                <w:b/>
                <w:bCs/>
              </w:rPr>
            </w:pPr>
            <w:r w:rsidRPr="001858D5">
              <w:rPr>
                <w:b/>
                <w:bCs/>
              </w:rPr>
              <w:t>Love</w:t>
            </w:r>
          </w:p>
        </w:tc>
        <w:tc>
          <w:tcPr>
            <w:tcW w:w="2885" w:type="dxa"/>
          </w:tcPr>
          <w:p w14:paraId="15DE786E" w14:textId="41ADA4F6" w:rsidR="00D37292" w:rsidRPr="001858D5" w:rsidRDefault="00D37292" w:rsidP="00D37292">
            <w:pPr>
              <w:ind w:firstLine="0"/>
              <w:jc w:val="center"/>
              <w:rPr>
                <w:b/>
                <w:bCs/>
              </w:rPr>
            </w:pPr>
            <w:r w:rsidRPr="001858D5">
              <w:rPr>
                <w:b/>
                <w:bCs/>
              </w:rPr>
              <w:t>Fun</w:t>
            </w:r>
          </w:p>
        </w:tc>
        <w:tc>
          <w:tcPr>
            <w:tcW w:w="2885" w:type="dxa"/>
          </w:tcPr>
          <w:p w14:paraId="12BEE21D" w14:textId="19A2905C" w:rsidR="00D37292" w:rsidRPr="001858D5" w:rsidRDefault="00D37292" w:rsidP="00D37292">
            <w:pPr>
              <w:ind w:firstLine="0"/>
              <w:jc w:val="center"/>
              <w:rPr>
                <w:b/>
                <w:bCs/>
              </w:rPr>
            </w:pPr>
            <w:r w:rsidRPr="001858D5">
              <w:rPr>
                <w:b/>
                <w:bCs/>
              </w:rPr>
              <w:t>A chan</w:t>
            </w:r>
            <w:r w:rsidR="00304BE7">
              <w:rPr>
                <w:b/>
                <w:bCs/>
              </w:rPr>
              <w:t>c</w:t>
            </w:r>
            <w:r w:rsidRPr="001858D5">
              <w:rPr>
                <w:b/>
                <w:bCs/>
              </w:rPr>
              <w:t>e to learn and grow</w:t>
            </w:r>
          </w:p>
        </w:tc>
        <w:tc>
          <w:tcPr>
            <w:tcW w:w="2885" w:type="dxa"/>
          </w:tcPr>
          <w:p w14:paraId="3FF53752" w14:textId="4686B963" w:rsidR="00D37292" w:rsidRPr="001858D5" w:rsidRDefault="00D37292" w:rsidP="00D37292">
            <w:pPr>
              <w:ind w:firstLine="0"/>
              <w:jc w:val="center"/>
              <w:rPr>
                <w:b/>
                <w:bCs/>
              </w:rPr>
            </w:pPr>
            <w:r w:rsidRPr="001858D5">
              <w:rPr>
                <w:b/>
                <w:bCs/>
              </w:rPr>
              <w:t>Safety</w:t>
            </w:r>
          </w:p>
        </w:tc>
        <w:tc>
          <w:tcPr>
            <w:tcW w:w="2885" w:type="dxa"/>
          </w:tcPr>
          <w:p w14:paraId="3D5814E3" w14:textId="1B912596" w:rsidR="00D37292" w:rsidRPr="001858D5" w:rsidRDefault="00D37292" w:rsidP="00D37292">
            <w:pPr>
              <w:ind w:firstLine="0"/>
              <w:jc w:val="center"/>
              <w:rPr>
                <w:b/>
                <w:bCs/>
              </w:rPr>
            </w:pPr>
            <w:r w:rsidRPr="001858D5">
              <w:rPr>
                <w:b/>
                <w:bCs/>
              </w:rPr>
              <w:t>The best health they can</w:t>
            </w:r>
          </w:p>
        </w:tc>
      </w:tr>
      <w:tr w:rsidR="00D37292" w14:paraId="203A79A1" w14:textId="77777777" w:rsidTr="001858D5">
        <w:trPr>
          <w:trHeight w:val="620"/>
        </w:trPr>
        <w:tc>
          <w:tcPr>
            <w:tcW w:w="14425" w:type="dxa"/>
            <w:gridSpan w:val="5"/>
            <w:shd w:val="clear" w:color="auto" w:fill="CCC0D9" w:themeFill="accent4" w:themeFillTint="66"/>
          </w:tcPr>
          <w:p w14:paraId="62B6F74F" w14:textId="2948BEBA" w:rsidR="00D37292" w:rsidRDefault="00D37292" w:rsidP="00D37292">
            <w:pPr>
              <w:ind w:firstLine="0"/>
              <w:jc w:val="center"/>
            </w:pPr>
            <w:r>
              <w:t>We can get there by helping children to have:</w:t>
            </w:r>
          </w:p>
        </w:tc>
      </w:tr>
      <w:tr w:rsidR="00D37292" w14:paraId="72563AC2" w14:textId="77777777" w:rsidTr="001858D5">
        <w:trPr>
          <w:trHeight w:val="903"/>
        </w:trPr>
        <w:tc>
          <w:tcPr>
            <w:tcW w:w="2885" w:type="dxa"/>
          </w:tcPr>
          <w:p w14:paraId="0DFEB080" w14:textId="47F6BE75" w:rsidR="00D37292" w:rsidRPr="001858D5" w:rsidRDefault="00D37292" w:rsidP="00D37292">
            <w:pPr>
              <w:ind w:firstLine="0"/>
              <w:jc w:val="center"/>
              <w:rPr>
                <w:b/>
                <w:bCs/>
              </w:rPr>
            </w:pPr>
            <w:r w:rsidRPr="001858D5">
              <w:rPr>
                <w:b/>
                <w:bCs/>
              </w:rPr>
              <w:t>Stable, loving homes and trusted relationships</w:t>
            </w:r>
          </w:p>
        </w:tc>
        <w:tc>
          <w:tcPr>
            <w:tcW w:w="2885" w:type="dxa"/>
          </w:tcPr>
          <w:p w14:paraId="7EC5E275" w14:textId="2639A9FE" w:rsidR="00D37292" w:rsidRPr="001858D5" w:rsidRDefault="00D37292" w:rsidP="00D37292">
            <w:pPr>
              <w:ind w:firstLine="0"/>
              <w:jc w:val="center"/>
              <w:rPr>
                <w:b/>
                <w:bCs/>
              </w:rPr>
            </w:pPr>
            <w:r w:rsidRPr="001858D5">
              <w:rPr>
                <w:b/>
                <w:bCs/>
              </w:rPr>
              <w:t>Play, leisure and friendships</w:t>
            </w:r>
          </w:p>
        </w:tc>
        <w:tc>
          <w:tcPr>
            <w:tcW w:w="2885" w:type="dxa"/>
          </w:tcPr>
          <w:p w14:paraId="088D990B" w14:textId="638B18E4" w:rsidR="00D37292" w:rsidRPr="001858D5" w:rsidRDefault="00D37292" w:rsidP="00D37292">
            <w:pPr>
              <w:ind w:firstLine="0"/>
              <w:jc w:val="center"/>
              <w:rPr>
                <w:b/>
                <w:bCs/>
              </w:rPr>
            </w:pPr>
            <w:r w:rsidRPr="001858D5">
              <w:rPr>
                <w:b/>
                <w:bCs/>
              </w:rPr>
              <w:t>Formal and informal learning</w:t>
            </w:r>
          </w:p>
        </w:tc>
        <w:tc>
          <w:tcPr>
            <w:tcW w:w="2885" w:type="dxa"/>
          </w:tcPr>
          <w:p w14:paraId="3B34FC42" w14:textId="69382F04" w:rsidR="00D37292" w:rsidRPr="001858D5" w:rsidRDefault="00D37292" w:rsidP="00D37292">
            <w:pPr>
              <w:ind w:firstLine="0"/>
              <w:jc w:val="center"/>
              <w:rPr>
                <w:b/>
                <w:bCs/>
              </w:rPr>
            </w:pPr>
            <w:r w:rsidRPr="001858D5">
              <w:rPr>
                <w:b/>
                <w:bCs/>
              </w:rPr>
              <w:t>Safe places to live</w:t>
            </w:r>
          </w:p>
        </w:tc>
        <w:tc>
          <w:tcPr>
            <w:tcW w:w="2885" w:type="dxa"/>
          </w:tcPr>
          <w:p w14:paraId="7ABE51D4" w14:textId="4426B895" w:rsidR="00D37292" w:rsidRPr="001858D5" w:rsidRDefault="00D37292" w:rsidP="00D37292">
            <w:pPr>
              <w:ind w:firstLine="0"/>
              <w:jc w:val="center"/>
              <w:rPr>
                <w:b/>
                <w:bCs/>
              </w:rPr>
            </w:pPr>
            <w:r w:rsidRPr="001858D5">
              <w:rPr>
                <w:b/>
                <w:bCs/>
              </w:rPr>
              <w:t>Good homes and good health</w:t>
            </w:r>
          </w:p>
        </w:tc>
      </w:tr>
      <w:tr w:rsidR="00D37292" w14:paraId="37B46BCD" w14:textId="77777777" w:rsidTr="0062543F">
        <w:trPr>
          <w:trHeight w:val="3311"/>
        </w:trPr>
        <w:tc>
          <w:tcPr>
            <w:tcW w:w="2885" w:type="dxa"/>
          </w:tcPr>
          <w:p w14:paraId="60EFB84C" w14:textId="77777777" w:rsidR="00D37292" w:rsidRDefault="00D37292" w:rsidP="00D37292">
            <w:pPr>
              <w:ind w:firstLine="0"/>
              <w:jc w:val="center"/>
            </w:pPr>
            <w:r>
              <w:t>Support for families</w:t>
            </w:r>
          </w:p>
          <w:p w14:paraId="32934B75" w14:textId="77777777" w:rsidR="00D37292" w:rsidRDefault="00D37292" w:rsidP="00D37292">
            <w:pPr>
              <w:ind w:firstLine="0"/>
              <w:jc w:val="center"/>
            </w:pPr>
            <w:r>
              <w:t>Children in care &amp; care leavers</w:t>
            </w:r>
          </w:p>
          <w:p w14:paraId="52C0B567" w14:textId="77777777" w:rsidR="00D37292" w:rsidRDefault="00D37292" w:rsidP="00D37292">
            <w:pPr>
              <w:ind w:firstLine="0"/>
              <w:jc w:val="center"/>
            </w:pPr>
            <w:r>
              <w:t>Welfare</w:t>
            </w:r>
          </w:p>
          <w:p w14:paraId="71191158" w14:textId="66636584" w:rsidR="00D37292" w:rsidRDefault="00D37292" w:rsidP="00D37292">
            <w:pPr>
              <w:ind w:firstLine="0"/>
              <w:jc w:val="center"/>
            </w:pPr>
            <w:r>
              <w:t>Immigration</w:t>
            </w:r>
          </w:p>
        </w:tc>
        <w:tc>
          <w:tcPr>
            <w:tcW w:w="2885" w:type="dxa"/>
          </w:tcPr>
          <w:p w14:paraId="46E1E49F" w14:textId="77777777" w:rsidR="00D37292" w:rsidRDefault="00D37292" w:rsidP="00D37292">
            <w:pPr>
              <w:ind w:firstLine="0"/>
              <w:jc w:val="center"/>
            </w:pPr>
            <w:r>
              <w:t>Playgrounds, parks &amp; leisure facilities</w:t>
            </w:r>
          </w:p>
          <w:p w14:paraId="2792557B" w14:textId="0021F4C8" w:rsidR="00D37292" w:rsidRDefault="005B64F4" w:rsidP="00D37292">
            <w:pPr>
              <w:ind w:firstLine="0"/>
              <w:jc w:val="center"/>
            </w:pPr>
            <w:r>
              <w:t>Access to digital technology</w:t>
            </w:r>
          </w:p>
          <w:p w14:paraId="69BB5A52" w14:textId="2C925B76" w:rsidR="00D37292" w:rsidRDefault="00D37292" w:rsidP="00D37292">
            <w:pPr>
              <w:ind w:firstLine="0"/>
              <w:jc w:val="center"/>
            </w:pPr>
            <w:r>
              <w:t>Youth services</w:t>
            </w:r>
          </w:p>
        </w:tc>
        <w:tc>
          <w:tcPr>
            <w:tcW w:w="2885" w:type="dxa"/>
          </w:tcPr>
          <w:p w14:paraId="320F8CC0" w14:textId="68CD1ABA" w:rsidR="00D37292" w:rsidRDefault="00D37292" w:rsidP="00D37292">
            <w:pPr>
              <w:ind w:firstLine="0"/>
              <w:jc w:val="center"/>
            </w:pPr>
            <w:r>
              <w:t>Early education, schools, home education</w:t>
            </w:r>
          </w:p>
          <w:p w14:paraId="579CCE4F" w14:textId="15238D0A" w:rsidR="00D37292" w:rsidRDefault="00D37292" w:rsidP="00D37292">
            <w:pPr>
              <w:ind w:firstLine="0"/>
              <w:jc w:val="center"/>
            </w:pPr>
            <w:r>
              <w:t>SEND</w:t>
            </w:r>
          </w:p>
          <w:p w14:paraId="20D55E98" w14:textId="77777777" w:rsidR="00D37292" w:rsidRDefault="00D37292" w:rsidP="00D37292">
            <w:pPr>
              <w:ind w:firstLine="0"/>
              <w:jc w:val="center"/>
            </w:pPr>
            <w:r>
              <w:t>Alternative provision</w:t>
            </w:r>
          </w:p>
          <w:p w14:paraId="5B3B1296" w14:textId="77777777" w:rsidR="00D37292" w:rsidRDefault="00D37292" w:rsidP="00D37292">
            <w:pPr>
              <w:ind w:firstLine="0"/>
              <w:jc w:val="center"/>
            </w:pPr>
            <w:r>
              <w:t>Culture</w:t>
            </w:r>
          </w:p>
          <w:p w14:paraId="5384F7A5" w14:textId="38EFA636" w:rsidR="00D37292" w:rsidRDefault="00D37292" w:rsidP="00D37292">
            <w:pPr>
              <w:ind w:firstLine="0"/>
              <w:jc w:val="center"/>
            </w:pPr>
            <w:r>
              <w:t>Further education &amp; jobs</w:t>
            </w:r>
          </w:p>
        </w:tc>
        <w:tc>
          <w:tcPr>
            <w:tcW w:w="2885" w:type="dxa"/>
          </w:tcPr>
          <w:p w14:paraId="0F5790D8" w14:textId="77777777" w:rsidR="00D37292" w:rsidRDefault="00D37292" w:rsidP="00D37292">
            <w:pPr>
              <w:ind w:firstLine="0"/>
              <w:jc w:val="center"/>
            </w:pPr>
            <w:r>
              <w:t>Tackling abuse, neglect &amp; exploitation</w:t>
            </w:r>
          </w:p>
          <w:p w14:paraId="77EB2DFC" w14:textId="77777777" w:rsidR="00D37292" w:rsidRDefault="00D37292" w:rsidP="00D37292">
            <w:pPr>
              <w:ind w:firstLine="0"/>
              <w:jc w:val="center"/>
            </w:pPr>
            <w:r>
              <w:t>Youth justice</w:t>
            </w:r>
          </w:p>
          <w:p w14:paraId="1B5A607E" w14:textId="77777777" w:rsidR="00D37292" w:rsidRDefault="00D37292" w:rsidP="00D37292">
            <w:pPr>
              <w:ind w:firstLine="0"/>
              <w:jc w:val="center"/>
            </w:pPr>
            <w:r>
              <w:t>Community safety</w:t>
            </w:r>
          </w:p>
          <w:p w14:paraId="2F1D5873" w14:textId="194384C4" w:rsidR="00DF5F3A" w:rsidRDefault="00DF5F3A" w:rsidP="00D37292">
            <w:pPr>
              <w:ind w:firstLine="0"/>
              <w:jc w:val="center"/>
            </w:pPr>
            <w:r>
              <w:t>Online safety</w:t>
            </w:r>
          </w:p>
        </w:tc>
        <w:tc>
          <w:tcPr>
            <w:tcW w:w="2885" w:type="dxa"/>
          </w:tcPr>
          <w:p w14:paraId="3B736944" w14:textId="5EFC0E39" w:rsidR="00D37292" w:rsidRDefault="00D37292" w:rsidP="00D37292">
            <w:pPr>
              <w:ind w:firstLine="0"/>
              <w:jc w:val="center"/>
            </w:pPr>
            <w:r>
              <w:t>Affordable housing</w:t>
            </w:r>
          </w:p>
          <w:p w14:paraId="06BA7F58" w14:textId="4BBCFA74" w:rsidR="00D37292" w:rsidRDefault="00D37292" w:rsidP="00D37292">
            <w:pPr>
              <w:ind w:firstLine="0"/>
              <w:jc w:val="center"/>
            </w:pPr>
            <w:r>
              <w:t>Physical &amp; mental health services</w:t>
            </w:r>
          </w:p>
          <w:p w14:paraId="2BE1244F" w14:textId="13D78B9C" w:rsidR="00D37292" w:rsidRDefault="00D37292" w:rsidP="00D37292">
            <w:pPr>
              <w:ind w:firstLine="0"/>
              <w:jc w:val="center"/>
            </w:pPr>
            <w:r>
              <w:t>Disability support</w:t>
            </w:r>
          </w:p>
          <w:p w14:paraId="4F13A7C1" w14:textId="2E767F46" w:rsidR="00D37292" w:rsidRDefault="00D37292" w:rsidP="00D37292">
            <w:pPr>
              <w:ind w:firstLine="0"/>
              <w:jc w:val="center"/>
            </w:pPr>
            <w:r>
              <w:t>Climate change</w:t>
            </w:r>
          </w:p>
          <w:p w14:paraId="13D6EFA6" w14:textId="7E024829" w:rsidR="00D37292" w:rsidRDefault="00931282" w:rsidP="00931282">
            <w:pPr>
              <w:ind w:firstLine="0"/>
              <w:jc w:val="center"/>
            </w:pPr>
            <w:r>
              <w:t>Healthy food</w:t>
            </w:r>
          </w:p>
        </w:tc>
      </w:tr>
      <w:tr w:rsidR="001858D5" w14:paraId="362E6670" w14:textId="77777777" w:rsidTr="001858D5">
        <w:trPr>
          <w:trHeight w:val="1267"/>
        </w:trPr>
        <w:tc>
          <w:tcPr>
            <w:tcW w:w="14425" w:type="dxa"/>
            <w:gridSpan w:val="5"/>
            <w:shd w:val="clear" w:color="auto" w:fill="CCC0D9" w:themeFill="accent4" w:themeFillTint="66"/>
          </w:tcPr>
          <w:p w14:paraId="71D2973A" w14:textId="77777777" w:rsidR="001858D5" w:rsidRDefault="001858D5" w:rsidP="00D37292">
            <w:pPr>
              <w:ind w:firstLine="0"/>
              <w:jc w:val="center"/>
            </w:pPr>
            <w:r>
              <w:t>Cross-cutting themes:</w:t>
            </w:r>
          </w:p>
          <w:p w14:paraId="73B9B3AA" w14:textId="5912D809" w:rsidR="001858D5" w:rsidRDefault="001858D5" w:rsidP="00D37292">
            <w:pPr>
              <w:ind w:firstLine="0"/>
              <w:jc w:val="center"/>
            </w:pPr>
            <w:r>
              <w:t>Childrens rights &amp; participation * Workforce * Partnerships * Equality, diversity &amp; inclusion * Funding</w:t>
            </w:r>
          </w:p>
        </w:tc>
      </w:tr>
    </w:tbl>
    <w:p w14:paraId="57FFA7F3" w14:textId="32AB607A" w:rsidR="00D37292" w:rsidRDefault="00D37292" w:rsidP="00D37292">
      <w:pPr>
        <w:ind w:firstLine="0"/>
        <w:sectPr w:rsidR="00D37292" w:rsidSect="00D37292">
          <w:type w:val="continuous"/>
          <w:pgSz w:w="16840" w:h="11900" w:orient="landscape"/>
          <w:pgMar w:top="1440" w:right="1440" w:bottom="1440" w:left="1440" w:header="284" w:footer="567" w:gutter="0"/>
          <w:pgNumType w:start="1"/>
          <w:cols w:space="708"/>
          <w:titlePg/>
          <w:docGrid w:linePitch="360"/>
        </w:sectPr>
      </w:pPr>
      <w:r>
        <w:t xml:space="preserve"> </w:t>
      </w:r>
    </w:p>
    <w:p w14:paraId="3137BA0B" w14:textId="239FC376" w:rsidR="00D37292" w:rsidRDefault="004C2A0E" w:rsidP="00892203">
      <w:pPr>
        <w:pStyle w:val="ListParagraph"/>
        <w:numPr>
          <w:ilvl w:val="0"/>
          <w:numId w:val="10"/>
        </w:numPr>
        <w:ind w:firstLine="0"/>
      </w:pPr>
      <w:r>
        <w:lastRenderedPageBreak/>
        <w:t>The vision and e</w:t>
      </w:r>
      <w:r w:rsidR="005E2DA0">
        <w:t xml:space="preserve">ach </w:t>
      </w:r>
      <w:r>
        <w:t xml:space="preserve">theme underpinning it will be supported with evidence to </w:t>
      </w:r>
      <w:r w:rsidR="00C74629">
        <w:t xml:space="preserve">build a clear narrative as to why each strand is important, along with </w:t>
      </w:r>
      <w:r w:rsidR="004310C3">
        <w:t>case studies of good practice and clear asks of Government (costed where possible and appropriate)</w:t>
      </w:r>
      <w:r w:rsidR="00AE7CBA">
        <w:t xml:space="preserve"> for any legal, financial or other levers that councils need to deliver the vision as effectively as possible.</w:t>
      </w:r>
    </w:p>
    <w:p w14:paraId="4F5EC9AD" w14:textId="39864EF0"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0DF5D31" w14:textId="15F10C9E" w:rsidR="00B10AD7" w:rsidRPr="002422C3" w:rsidRDefault="00CB50A4" w:rsidP="004E09CD">
      <w:pPr>
        <w:pStyle w:val="ListParagraph"/>
        <w:numPr>
          <w:ilvl w:val="0"/>
          <w:numId w:val="10"/>
        </w:numPr>
      </w:pPr>
      <w:r>
        <w:t>Children’s social care and education are devolved in Wales, however</w:t>
      </w:r>
      <w:r w:rsidR="001343D1">
        <w:t xml:space="preserve"> </w:t>
      </w:r>
      <w:r w:rsidR="00170933">
        <w:t>areas of commonality will be sought and where the vision includes non-devolved policy areas such as immigration</w:t>
      </w:r>
      <w:r w:rsidR="00480F02">
        <w:t xml:space="preserve"> we will work with our colleagues in the Welsh LGA to ensure</w:t>
      </w:r>
      <w:r w:rsidR="001B6209">
        <w:t xml:space="preserve"> appropriate join up.</w:t>
      </w:r>
    </w:p>
    <w:p w14:paraId="465D35E6" w14:textId="5BD18CDB" w:rsidR="00E81AC5" w:rsidRPr="002422C3" w:rsidRDefault="00E81AC5" w:rsidP="00AE33E9">
      <w:pPr>
        <w:pStyle w:val="Heading2"/>
        <w:rPr>
          <w:color w:val="auto"/>
        </w:rPr>
      </w:pPr>
      <w:r w:rsidRPr="002422C3">
        <w:rPr>
          <w:color w:val="auto"/>
        </w:rPr>
        <w:t>Financial Implications</w:t>
      </w:r>
    </w:p>
    <w:p w14:paraId="673ECA1A" w14:textId="7DFCCE8D" w:rsidR="008E748E" w:rsidRPr="002422C3" w:rsidRDefault="001B6209" w:rsidP="00953728">
      <w:pPr>
        <w:pStyle w:val="ListParagraph"/>
        <w:numPr>
          <w:ilvl w:val="0"/>
          <w:numId w:val="10"/>
        </w:numPr>
      </w:pPr>
      <w:r>
        <w:t>Work to develop the vision will be carried out within existing LGA resources.</w:t>
      </w:r>
    </w:p>
    <w:p w14:paraId="43EB3207" w14:textId="07AA5172"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6DBBC89F" w:rsidR="00953728" w:rsidRPr="002422C3" w:rsidRDefault="00517863" w:rsidP="00953728">
      <w:pPr>
        <w:pStyle w:val="ListParagraph"/>
        <w:numPr>
          <w:ilvl w:val="0"/>
          <w:numId w:val="10"/>
        </w:numPr>
      </w:pPr>
      <w:r>
        <w:t xml:space="preserve">It is recommended that equality, diversity and inclusion is a key theme running across all elements of the vision. There is significant evidence around the differing access to and experience of different services by </w:t>
      </w:r>
      <w:r w:rsidR="00E45BBB">
        <w:t>children and young people of different backgrounds and protected characteristics and it is therefore important to consider this evidence to identify where</w:t>
      </w:r>
      <w:r w:rsidR="00C93D11">
        <w:t xml:space="preserve"> work must take place to ensure equity of provision and opportunity.</w:t>
      </w:r>
    </w:p>
    <w:p w14:paraId="0DD7D346" w14:textId="521DE7EB"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247FACC8" w14:textId="6A6E535E" w:rsidR="00B675FD" w:rsidRPr="002422C3" w:rsidRDefault="00E373A9" w:rsidP="004E09CD">
      <w:pPr>
        <w:pStyle w:val="ListParagraph"/>
        <w:numPr>
          <w:ilvl w:val="0"/>
          <w:numId w:val="10"/>
        </w:numPr>
      </w:pPr>
      <w:r>
        <w:t>Comments made by the Board will be incorporated into a high-level vision document which will be agreed by Lead Members</w:t>
      </w:r>
      <w:r w:rsidR="006E0460">
        <w:t xml:space="preserve"> </w:t>
      </w:r>
      <w:r w:rsidR="002619AA">
        <w:t>in the first instance</w:t>
      </w:r>
      <w:r w:rsidR="00023CE3">
        <w:t xml:space="preserve"> with the aim of launching this at the National Children and Adult Services Conference in November</w:t>
      </w:r>
      <w:r>
        <w:t xml:space="preserve">. </w:t>
      </w:r>
      <w:r w:rsidR="00CB3304">
        <w:t xml:space="preserve">Members of the Children, Welfare, Equalities and Democracy team will </w:t>
      </w:r>
      <w:r w:rsidR="002619AA">
        <w:t xml:space="preserve">then </w:t>
      </w:r>
      <w:r w:rsidR="00CB3304">
        <w:t xml:space="preserve">work to </w:t>
      </w:r>
      <w:r w:rsidR="00343A76">
        <w:t>draw together evidence</w:t>
      </w:r>
      <w:r w:rsidR="00680BF4">
        <w:t xml:space="preserve"> underpinning the proposed </w:t>
      </w:r>
      <w:r w:rsidR="001E1AF7">
        <w:t>high-level</w:t>
      </w:r>
      <w:r w:rsidR="00680BF4">
        <w:t xml:space="preserve"> vision</w:t>
      </w:r>
      <w:r w:rsidR="001E1AF7">
        <w:t>.</w:t>
      </w:r>
      <w:r w:rsidR="001D3AD4">
        <w:t xml:space="preserve"> </w:t>
      </w:r>
      <w:r w:rsidR="00050BEB">
        <w:t xml:space="preserve">The evidence will </w:t>
      </w:r>
      <w:r w:rsidR="0054641D">
        <w:t xml:space="preserve">ensure clarity over how </w:t>
      </w:r>
      <w:r w:rsidR="00460DD6">
        <w:t xml:space="preserve">to achieve the overarching vision, and be used to develop </w:t>
      </w:r>
      <w:r w:rsidR="003A3446">
        <w:t>outcomes</w:t>
      </w:r>
      <w:r w:rsidR="00A325E1">
        <w:t xml:space="preserve"> and asks of Government</w:t>
      </w:r>
      <w:r w:rsidR="003A3446">
        <w:t xml:space="preserve"> rooted in the evidence as to what matters to and for children and young people.</w:t>
      </w:r>
    </w:p>
    <w:p w14:paraId="19415656" w14:textId="2C77B064" w:rsidR="00FA1A37" w:rsidRPr="004748F8" w:rsidRDefault="00AB074B" w:rsidP="004748F8">
      <w:pPr>
        <w:pStyle w:val="ListParagraph"/>
        <w:numPr>
          <w:ilvl w:val="0"/>
          <w:numId w:val="10"/>
        </w:numPr>
      </w:pPr>
      <w:r>
        <w:t>The Board will receive regular updates on progress of the vision work</w:t>
      </w:r>
      <w:r w:rsidR="00E762B7">
        <w:t xml:space="preserve"> including final sign off </w:t>
      </w:r>
      <w:r w:rsidR="00C54BF0">
        <w:t>for</w:t>
      </w:r>
      <w:r w:rsidR="00E762B7">
        <w:t xml:space="preserve"> key documents.</w:t>
      </w:r>
    </w:p>
    <w:sectPr w:rsidR="00FA1A37" w:rsidRPr="004748F8" w:rsidSect="00D37292">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8277" w14:textId="77777777" w:rsidR="00BA7680" w:rsidRDefault="00BA7680" w:rsidP="00AD62B2">
      <w:r>
        <w:separator/>
      </w:r>
    </w:p>
  </w:endnote>
  <w:endnote w:type="continuationSeparator" w:id="0">
    <w:p w14:paraId="1E4C9807" w14:textId="77777777" w:rsidR="00BA7680" w:rsidRDefault="00BA7680" w:rsidP="00AD62B2">
      <w:r>
        <w:continuationSeparator/>
      </w:r>
    </w:p>
  </w:endnote>
  <w:endnote w:type="continuationNotice" w:id="1">
    <w:p w14:paraId="3CEF6F8D" w14:textId="77777777" w:rsidR="00BA7680" w:rsidRDefault="00BA7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8D4E" w14:textId="77777777" w:rsidR="00BA7680" w:rsidRDefault="00BA7680" w:rsidP="00AD62B2">
      <w:r>
        <w:separator/>
      </w:r>
    </w:p>
  </w:footnote>
  <w:footnote w:type="continuationSeparator" w:id="0">
    <w:p w14:paraId="2FC746F3" w14:textId="77777777" w:rsidR="00BA7680" w:rsidRDefault="00BA7680" w:rsidP="00AD62B2">
      <w:r>
        <w:continuationSeparator/>
      </w:r>
    </w:p>
  </w:footnote>
  <w:footnote w:type="continuationNotice" w:id="1">
    <w:p w14:paraId="2472E5C4" w14:textId="77777777" w:rsidR="00BA7680" w:rsidRDefault="00BA76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036A19CD" w:rsidR="00DA5AAB" w:rsidRPr="00DA5AAB" w:rsidRDefault="00DA5AAB" w:rsidP="002C7104">
    <w:pPr>
      <w:pStyle w:val="Header"/>
      <w:spacing w:before="0" w:after="120"/>
      <w:jc w:val="right"/>
      <w:rPr>
        <w:b/>
        <w:bCs/>
      </w:rPr>
    </w:pPr>
    <w:r w:rsidRPr="00DA5AAB">
      <w:rPr>
        <w:b/>
        <w:bCs/>
      </w:rPr>
      <w:t>Meeting</w:t>
    </w:r>
    <w:r>
      <w:rPr>
        <w:b/>
        <w:bCs/>
      </w:rPr>
      <w:t xml:space="preserve">: </w:t>
    </w:r>
    <w:r w:rsidR="000931B2">
      <w:rPr>
        <w:b/>
        <w:bCs/>
      </w:rPr>
      <w:t>Children and Young People Board</w:t>
    </w:r>
    <w:r>
      <w:rPr>
        <w:b/>
        <w:bCs/>
      </w:rPr>
      <w:t xml:space="preserve"> </w:t>
    </w:r>
  </w:p>
  <w:p w14:paraId="219B72BE" w14:textId="18192A5B" w:rsidR="00DA5AAB" w:rsidRPr="00DA5AAB" w:rsidRDefault="00DA5AAB" w:rsidP="002C7104">
    <w:pPr>
      <w:pStyle w:val="Header"/>
      <w:spacing w:before="0" w:after="120"/>
      <w:jc w:val="right"/>
      <w:rPr>
        <w:b/>
        <w:bCs/>
      </w:rPr>
    </w:pPr>
    <w:r w:rsidRPr="00DA5AAB">
      <w:rPr>
        <w:b/>
        <w:bCs/>
      </w:rPr>
      <w:t>Date:</w:t>
    </w:r>
    <w:r>
      <w:rPr>
        <w:b/>
        <w:bCs/>
      </w:rPr>
      <w:t xml:space="preserve"> </w:t>
    </w:r>
    <w:r w:rsidR="000931B2">
      <w:rPr>
        <w:b/>
        <w:bCs/>
      </w:rPr>
      <w:t>29 September 2022</w:t>
    </w: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0809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17"/>
  </w:num>
  <w:num w:numId="3">
    <w:abstractNumId w:val="16"/>
  </w:num>
  <w:num w:numId="4">
    <w:abstractNumId w:val="14"/>
  </w:num>
  <w:num w:numId="5">
    <w:abstractNumId w:val="11"/>
  </w:num>
  <w:num w:numId="6">
    <w:abstractNumId w:val="10"/>
  </w:num>
  <w:num w:numId="7">
    <w:abstractNumId w:val="12"/>
  </w:num>
  <w:num w:numId="8">
    <w:abstractNumId w:val="18"/>
  </w:num>
  <w:num w:numId="9">
    <w:abstractNumId w:val="15"/>
  </w:num>
  <w:num w:numId="10">
    <w:abstractNumId w:val="13"/>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2B06"/>
    <w:rsid w:val="00023063"/>
    <w:rsid w:val="00023CE3"/>
    <w:rsid w:val="000367CF"/>
    <w:rsid w:val="000404B5"/>
    <w:rsid w:val="00042F32"/>
    <w:rsid w:val="00050BEB"/>
    <w:rsid w:val="00052698"/>
    <w:rsid w:val="00070B30"/>
    <w:rsid w:val="00084AE6"/>
    <w:rsid w:val="000931B2"/>
    <w:rsid w:val="000A3930"/>
    <w:rsid w:val="000A46DA"/>
    <w:rsid w:val="000B1103"/>
    <w:rsid w:val="000C083B"/>
    <w:rsid w:val="000F5D79"/>
    <w:rsid w:val="000F7823"/>
    <w:rsid w:val="00105C11"/>
    <w:rsid w:val="00125CDC"/>
    <w:rsid w:val="00125D0E"/>
    <w:rsid w:val="001343D1"/>
    <w:rsid w:val="001379B6"/>
    <w:rsid w:val="00143FF7"/>
    <w:rsid w:val="00151173"/>
    <w:rsid w:val="00151EED"/>
    <w:rsid w:val="00153423"/>
    <w:rsid w:val="00154DF0"/>
    <w:rsid w:val="00160176"/>
    <w:rsid w:val="00162B91"/>
    <w:rsid w:val="00170933"/>
    <w:rsid w:val="001858D5"/>
    <w:rsid w:val="001879BE"/>
    <w:rsid w:val="00194699"/>
    <w:rsid w:val="00195A64"/>
    <w:rsid w:val="001B6209"/>
    <w:rsid w:val="001C0B7F"/>
    <w:rsid w:val="001C2D2F"/>
    <w:rsid w:val="001C403B"/>
    <w:rsid w:val="001C7965"/>
    <w:rsid w:val="001D0BC8"/>
    <w:rsid w:val="001D0E03"/>
    <w:rsid w:val="001D3AD4"/>
    <w:rsid w:val="001E1AF7"/>
    <w:rsid w:val="001E4FE0"/>
    <w:rsid w:val="001F77A5"/>
    <w:rsid w:val="0020025E"/>
    <w:rsid w:val="00201BBD"/>
    <w:rsid w:val="00202AA9"/>
    <w:rsid w:val="0022517A"/>
    <w:rsid w:val="00235960"/>
    <w:rsid w:val="002422C3"/>
    <w:rsid w:val="00254CC6"/>
    <w:rsid w:val="002619AA"/>
    <w:rsid w:val="0028316C"/>
    <w:rsid w:val="002954FA"/>
    <w:rsid w:val="002A7C7F"/>
    <w:rsid w:val="002C7020"/>
    <w:rsid w:val="002C7104"/>
    <w:rsid w:val="002D013E"/>
    <w:rsid w:val="002D4F8A"/>
    <w:rsid w:val="002E3791"/>
    <w:rsid w:val="0030031B"/>
    <w:rsid w:val="00304BE7"/>
    <w:rsid w:val="00305796"/>
    <w:rsid w:val="003137E0"/>
    <w:rsid w:val="00321249"/>
    <w:rsid w:val="00325289"/>
    <w:rsid w:val="00343A76"/>
    <w:rsid w:val="003566B0"/>
    <w:rsid w:val="00357547"/>
    <w:rsid w:val="00363F09"/>
    <w:rsid w:val="00365015"/>
    <w:rsid w:val="00371E87"/>
    <w:rsid w:val="003737D0"/>
    <w:rsid w:val="00375F9A"/>
    <w:rsid w:val="0039168F"/>
    <w:rsid w:val="00395AD4"/>
    <w:rsid w:val="003A15A7"/>
    <w:rsid w:val="003A3446"/>
    <w:rsid w:val="003A7E51"/>
    <w:rsid w:val="003D1170"/>
    <w:rsid w:val="003D55B7"/>
    <w:rsid w:val="003E42B8"/>
    <w:rsid w:val="00400A51"/>
    <w:rsid w:val="004026A7"/>
    <w:rsid w:val="00425C92"/>
    <w:rsid w:val="004310C3"/>
    <w:rsid w:val="004348CE"/>
    <w:rsid w:val="004437BA"/>
    <w:rsid w:val="00447DCB"/>
    <w:rsid w:val="00460DD6"/>
    <w:rsid w:val="0047422A"/>
    <w:rsid w:val="004748F8"/>
    <w:rsid w:val="00480F02"/>
    <w:rsid w:val="004812FF"/>
    <w:rsid w:val="004813F5"/>
    <w:rsid w:val="00486944"/>
    <w:rsid w:val="00492F21"/>
    <w:rsid w:val="004A550F"/>
    <w:rsid w:val="004B0B49"/>
    <w:rsid w:val="004C0E85"/>
    <w:rsid w:val="004C1903"/>
    <w:rsid w:val="004C2A0E"/>
    <w:rsid w:val="004D736A"/>
    <w:rsid w:val="004E09CD"/>
    <w:rsid w:val="004E2432"/>
    <w:rsid w:val="004F68A2"/>
    <w:rsid w:val="00503519"/>
    <w:rsid w:val="00503754"/>
    <w:rsid w:val="00516DF0"/>
    <w:rsid w:val="00517863"/>
    <w:rsid w:val="00526D9F"/>
    <w:rsid w:val="0053346B"/>
    <w:rsid w:val="00534FB1"/>
    <w:rsid w:val="00535D6E"/>
    <w:rsid w:val="005372A7"/>
    <w:rsid w:val="00540C4E"/>
    <w:rsid w:val="0054641D"/>
    <w:rsid w:val="00552CFE"/>
    <w:rsid w:val="00565620"/>
    <w:rsid w:val="005720CE"/>
    <w:rsid w:val="0057403C"/>
    <w:rsid w:val="00584BDE"/>
    <w:rsid w:val="00584D71"/>
    <w:rsid w:val="005A7236"/>
    <w:rsid w:val="005B40FE"/>
    <w:rsid w:val="005B64F4"/>
    <w:rsid w:val="005C379A"/>
    <w:rsid w:val="005C409E"/>
    <w:rsid w:val="005D08F8"/>
    <w:rsid w:val="005D0D7B"/>
    <w:rsid w:val="005D52A9"/>
    <w:rsid w:val="005D785E"/>
    <w:rsid w:val="005E2DA0"/>
    <w:rsid w:val="005F1E59"/>
    <w:rsid w:val="005F35B6"/>
    <w:rsid w:val="00616157"/>
    <w:rsid w:val="00622CF7"/>
    <w:rsid w:val="00627EC8"/>
    <w:rsid w:val="006306EE"/>
    <w:rsid w:val="00643FF4"/>
    <w:rsid w:val="00645595"/>
    <w:rsid w:val="006455C6"/>
    <w:rsid w:val="00645C7E"/>
    <w:rsid w:val="00652442"/>
    <w:rsid w:val="006574A6"/>
    <w:rsid w:val="00664ACC"/>
    <w:rsid w:val="0067291C"/>
    <w:rsid w:val="006731A2"/>
    <w:rsid w:val="00680BF4"/>
    <w:rsid w:val="0068605E"/>
    <w:rsid w:val="00687A6B"/>
    <w:rsid w:val="00690B8B"/>
    <w:rsid w:val="00695E71"/>
    <w:rsid w:val="006A0790"/>
    <w:rsid w:val="006B1898"/>
    <w:rsid w:val="006B41F2"/>
    <w:rsid w:val="006B7ECA"/>
    <w:rsid w:val="006C088E"/>
    <w:rsid w:val="006C70DE"/>
    <w:rsid w:val="006E0460"/>
    <w:rsid w:val="006E432A"/>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66787"/>
    <w:rsid w:val="007918BC"/>
    <w:rsid w:val="007A3157"/>
    <w:rsid w:val="007A4D40"/>
    <w:rsid w:val="007B0E3B"/>
    <w:rsid w:val="007B0F24"/>
    <w:rsid w:val="007B1D9E"/>
    <w:rsid w:val="007B6174"/>
    <w:rsid w:val="007B6FFF"/>
    <w:rsid w:val="007D2BFD"/>
    <w:rsid w:val="007D335D"/>
    <w:rsid w:val="007D6682"/>
    <w:rsid w:val="007E1B30"/>
    <w:rsid w:val="007F1381"/>
    <w:rsid w:val="007F28E6"/>
    <w:rsid w:val="007F59BC"/>
    <w:rsid w:val="00803C71"/>
    <w:rsid w:val="008048EF"/>
    <w:rsid w:val="0080622B"/>
    <w:rsid w:val="008200FE"/>
    <w:rsid w:val="00821E3F"/>
    <w:rsid w:val="008332C5"/>
    <w:rsid w:val="00833499"/>
    <w:rsid w:val="00847148"/>
    <w:rsid w:val="00847890"/>
    <w:rsid w:val="00880C7A"/>
    <w:rsid w:val="0088301E"/>
    <w:rsid w:val="00885D1D"/>
    <w:rsid w:val="008905DD"/>
    <w:rsid w:val="0089382D"/>
    <w:rsid w:val="00895969"/>
    <w:rsid w:val="008A5A73"/>
    <w:rsid w:val="008B2E69"/>
    <w:rsid w:val="008B5701"/>
    <w:rsid w:val="008C33DB"/>
    <w:rsid w:val="008C7AEC"/>
    <w:rsid w:val="008E47B9"/>
    <w:rsid w:val="008E5800"/>
    <w:rsid w:val="008E748E"/>
    <w:rsid w:val="008F5F53"/>
    <w:rsid w:val="008F608D"/>
    <w:rsid w:val="00902EFF"/>
    <w:rsid w:val="00905BB1"/>
    <w:rsid w:val="00923F56"/>
    <w:rsid w:val="00931282"/>
    <w:rsid w:val="00936955"/>
    <w:rsid w:val="009536BB"/>
    <w:rsid w:val="00953728"/>
    <w:rsid w:val="009543B5"/>
    <w:rsid w:val="0096147C"/>
    <w:rsid w:val="00963DC2"/>
    <w:rsid w:val="0096624C"/>
    <w:rsid w:val="00970E84"/>
    <w:rsid w:val="009846C6"/>
    <w:rsid w:val="0098520D"/>
    <w:rsid w:val="00987523"/>
    <w:rsid w:val="009878BD"/>
    <w:rsid w:val="00987B43"/>
    <w:rsid w:val="009A2A70"/>
    <w:rsid w:val="009A6C11"/>
    <w:rsid w:val="009C0A70"/>
    <w:rsid w:val="009C5246"/>
    <w:rsid w:val="009C6E89"/>
    <w:rsid w:val="009D274E"/>
    <w:rsid w:val="009D6442"/>
    <w:rsid w:val="009D77EE"/>
    <w:rsid w:val="009E0678"/>
    <w:rsid w:val="009E2623"/>
    <w:rsid w:val="009E3E52"/>
    <w:rsid w:val="009E6111"/>
    <w:rsid w:val="009F1F4A"/>
    <w:rsid w:val="00A02CAC"/>
    <w:rsid w:val="00A247CC"/>
    <w:rsid w:val="00A325E1"/>
    <w:rsid w:val="00A3789E"/>
    <w:rsid w:val="00A42B71"/>
    <w:rsid w:val="00A60982"/>
    <w:rsid w:val="00AA2CA8"/>
    <w:rsid w:val="00AA5E31"/>
    <w:rsid w:val="00AB074B"/>
    <w:rsid w:val="00AB2B85"/>
    <w:rsid w:val="00AB56A2"/>
    <w:rsid w:val="00AC2D89"/>
    <w:rsid w:val="00AD62B2"/>
    <w:rsid w:val="00AE33E9"/>
    <w:rsid w:val="00AE7CBA"/>
    <w:rsid w:val="00AF201F"/>
    <w:rsid w:val="00AF421F"/>
    <w:rsid w:val="00B10AD7"/>
    <w:rsid w:val="00B14707"/>
    <w:rsid w:val="00B223D9"/>
    <w:rsid w:val="00B270C0"/>
    <w:rsid w:val="00B43FC6"/>
    <w:rsid w:val="00B56823"/>
    <w:rsid w:val="00B632F8"/>
    <w:rsid w:val="00B632FD"/>
    <w:rsid w:val="00B6379A"/>
    <w:rsid w:val="00B675FD"/>
    <w:rsid w:val="00B754E7"/>
    <w:rsid w:val="00B80260"/>
    <w:rsid w:val="00B826E5"/>
    <w:rsid w:val="00B872F6"/>
    <w:rsid w:val="00BA10BE"/>
    <w:rsid w:val="00BA5321"/>
    <w:rsid w:val="00BA7680"/>
    <w:rsid w:val="00BC1F12"/>
    <w:rsid w:val="00BC3EB6"/>
    <w:rsid w:val="00BD5521"/>
    <w:rsid w:val="00BE0ACB"/>
    <w:rsid w:val="00C22A6C"/>
    <w:rsid w:val="00C51037"/>
    <w:rsid w:val="00C54BF0"/>
    <w:rsid w:val="00C629EB"/>
    <w:rsid w:val="00C62C81"/>
    <w:rsid w:val="00C64EDF"/>
    <w:rsid w:val="00C74629"/>
    <w:rsid w:val="00C77025"/>
    <w:rsid w:val="00C84BCF"/>
    <w:rsid w:val="00C9073A"/>
    <w:rsid w:val="00C92573"/>
    <w:rsid w:val="00C93D11"/>
    <w:rsid w:val="00CA5846"/>
    <w:rsid w:val="00CA6CB6"/>
    <w:rsid w:val="00CB3304"/>
    <w:rsid w:val="00CB3530"/>
    <w:rsid w:val="00CB50A4"/>
    <w:rsid w:val="00CC0113"/>
    <w:rsid w:val="00D10FCA"/>
    <w:rsid w:val="00D30BBE"/>
    <w:rsid w:val="00D37292"/>
    <w:rsid w:val="00D51669"/>
    <w:rsid w:val="00D64C73"/>
    <w:rsid w:val="00D70FE5"/>
    <w:rsid w:val="00D81007"/>
    <w:rsid w:val="00D9187A"/>
    <w:rsid w:val="00D91A5B"/>
    <w:rsid w:val="00DA13B0"/>
    <w:rsid w:val="00DA5AAB"/>
    <w:rsid w:val="00DB6110"/>
    <w:rsid w:val="00DC6D0E"/>
    <w:rsid w:val="00DD44F2"/>
    <w:rsid w:val="00DD47BD"/>
    <w:rsid w:val="00DD54A1"/>
    <w:rsid w:val="00DF5F3A"/>
    <w:rsid w:val="00E0165F"/>
    <w:rsid w:val="00E141F7"/>
    <w:rsid w:val="00E373A9"/>
    <w:rsid w:val="00E45BBB"/>
    <w:rsid w:val="00E53F9C"/>
    <w:rsid w:val="00E610E1"/>
    <w:rsid w:val="00E618C5"/>
    <w:rsid w:val="00E61E6E"/>
    <w:rsid w:val="00E762B7"/>
    <w:rsid w:val="00E81AC5"/>
    <w:rsid w:val="00E82156"/>
    <w:rsid w:val="00E85176"/>
    <w:rsid w:val="00EA6CDB"/>
    <w:rsid w:val="00EB4174"/>
    <w:rsid w:val="00ED5BAA"/>
    <w:rsid w:val="00EE48FE"/>
    <w:rsid w:val="00F069C8"/>
    <w:rsid w:val="00F075F3"/>
    <w:rsid w:val="00F11BF5"/>
    <w:rsid w:val="00F21C9A"/>
    <w:rsid w:val="00F22C64"/>
    <w:rsid w:val="00F264F7"/>
    <w:rsid w:val="00F3594F"/>
    <w:rsid w:val="00F54F92"/>
    <w:rsid w:val="00F6662B"/>
    <w:rsid w:val="00F770BA"/>
    <w:rsid w:val="00F83049"/>
    <w:rsid w:val="00F867C7"/>
    <w:rsid w:val="00F86C57"/>
    <w:rsid w:val="00F914D1"/>
    <w:rsid w:val="00FA1A37"/>
    <w:rsid w:val="00FA3617"/>
    <w:rsid w:val="00FA468C"/>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FollowedHyperlink">
    <w:name w:val="FollowedHyperlink"/>
    <w:basedOn w:val="DefaultParagraphFont"/>
    <w:uiPriority w:val="99"/>
    <w:semiHidden/>
    <w:unhideWhenUsed/>
    <w:rsid w:val="00DC6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signals-future-horizon-scanning-local-govern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uise.smith@loc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ildrenscommissioner.gov.uk/the-big-answ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campaigns/bright-fut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EE2A441-034A-48E6-8653-018596DA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Louise Smith</cp:lastModifiedBy>
  <cp:revision>4</cp:revision>
  <dcterms:created xsi:type="dcterms:W3CDTF">2022-09-13T12:12:00Z</dcterms:created>
  <dcterms:modified xsi:type="dcterms:W3CDTF">2022-09-21T10:42:00Z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